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overflowPunct w:val="false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</w:r>
    </w:p>
    <w:p>
      <w:pPr>
        <w:pStyle w:val="Normal"/>
        <w:widowControl w:val="false"/>
        <w:overflowPunct w:val="false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</w:r>
    </w:p>
    <w:p>
      <w:pPr>
        <w:pStyle w:val="21"/>
        <w:shd w:val="clear" w:color="auto" w:fill="auto"/>
        <w:tabs>
          <w:tab w:val="clear" w:pos="708"/>
          <w:tab w:val="left" w:pos="714" w:leader="none"/>
        </w:tabs>
        <w:spacing w:lineRule="auto" w:line="240"/>
        <w:ind w:firstLine="709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a3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56"/>
        <w:gridCol w:w="4917"/>
        <w:gridCol w:w="3672"/>
      </w:tblGrid>
      <w:tr>
        <w:trPr>
          <w:tblHeader w:val="true"/>
        </w:trPr>
        <w:tc>
          <w:tcPr>
            <w:tcW w:w="75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п/п</w:t>
            </w:r>
          </w:p>
        </w:tc>
        <w:tc>
          <w:tcPr>
            <w:tcW w:w="49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Наименование показателя</w:t>
            </w:r>
          </w:p>
        </w:tc>
        <w:tc>
          <w:tcPr>
            <w:tcW w:w="36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Да/Нет</w:t>
            </w:r>
          </w:p>
        </w:tc>
      </w:tr>
      <w:tr>
        <w:trPr>
          <w:trHeight w:val="389" w:hRule="atLeast"/>
        </w:trPr>
        <w:tc>
          <w:tcPr>
            <w:tcW w:w="9345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Группа 1. «Требования стандарта развития конкуренции»</w:t>
            </w:r>
          </w:p>
        </w:tc>
      </w:tr>
      <w:tr>
        <w:trPr>
          <w:trHeight w:val="2103" w:hRule="atLeast"/>
        </w:trPr>
        <w:tc>
          <w:tcPr>
            <w:tcW w:w="75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Style w:val="2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1.1.</w:t>
            </w:r>
          </w:p>
        </w:tc>
        <w:tc>
          <w:tcPr>
            <w:tcW w:w="49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Наличие на официальном сайте муниципального района (городского округа) Курской области раздела, посвященного содействию развитию конкуренции и его систематическое наполнение в целях повышения информированности потребителей и бизнес-сообществ </w:t>
            </w:r>
            <w:r>
              <w:rPr>
                <w:rStyle w:val="24"/>
                <w:rFonts w:eastAsia="Calibri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(</w:t>
            </w: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Есть/ Нет)</w:t>
            </w:r>
          </w:p>
        </w:tc>
        <w:tc>
          <w:tcPr>
            <w:tcW w:w="36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bCs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Есть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http://timr.rkursk.ru/index.php?mun_obr=441&amp;sub_menus_id=30341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576" w:hRule="atLeast"/>
        </w:trPr>
        <w:tc>
          <w:tcPr>
            <w:tcW w:w="75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Style w:val="2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1.2.</w:t>
            </w:r>
          </w:p>
        </w:tc>
        <w:tc>
          <w:tcPr>
            <w:tcW w:w="49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Наличие утвержденного перечня товарных рынков для содействия развитию конкуренции и муниципального плана мероприятий («дорожной карты») по содействию развитию конкуренции </w:t>
            </w:r>
            <w:r>
              <w:rPr>
                <w:rStyle w:val="24"/>
                <w:rFonts w:eastAsia="Calibri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(</w:t>
            </w: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Есть/ Нет)</w:t>
            </w:r>
          </w:p>
        </w:tc>
        <w:tc>
          <w:tcPr>
            <w:tcW w:w="36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bCs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Есть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http://timr.rkursk.ru/index.php?mun_obr=441&amp;sub_menus_id=30341&amp;num_str=1&amp;id_mat=446264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297" w:hRule="atLeast"/>
        </w:trPr>
        <w:tc>
          <w:tcPr>
            <w:tcW w:w="9345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Style w:val="24"/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Группа 2. «Эффективность работы по реализации Перечня поручений Президента Российской Федерации по итогам заседания Государственного совета по вопросу развития конкуренции, состоявшегося 5 апреля 2018 года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Style w:val="24"/>
                <w:rFonts w:eastAsia="Calibri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ПР-817ГС от 15.05.2018»</w:t>
            </w:r>
          </w:p>
        </w:tc>
      </w:tr>
      <w:tr>
        <w:trPr>
          <w:trHeight w:val="2494" w:hRule="atLeast"/>
        </w:trPr>
        <w:tc>
          <w:tcPr>
            <w:tcW w:w="75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Style w:val="2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2.1.</w:t>
            </w:r>
          </w:p>
        </w:tc>
        <w:tc>
          <w:tcPr>
            <w:tcW w:w="49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Наличие нормативного правового акта Администрации муниципального района (городского округа) Курской области </w:t>
              <w:br/>
              <w:t xml:space="preserve">«О закреплении приоритета целей и задач по развитию конкуренции», размещенного на официальном сайте муниципального района (городского округа) Курской области </w:t>
            </w:r>
            <w:r>
              <w:rPr>
                <w:rStyle w:val="24"/>
                <w:rFonts w:eastAsia="Calibri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(</w:t>
            </w: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Есть/ Нет)</w:t>
            </w:r>
          </w:p>
        </w:tc>
        <w:tc>
          <w:tcPr>
            <w:tcW w:w="36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bCs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Есть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">
              <w:r>
                <w:rPr>
                  <w:rFonts w:eastAsia="Calibri" w:cs="Times New Roman" w:ascii="Times New Roman" w:hAnsi="Times New Roman"/>
                  <w:kern w:val="0"/>
                  <w:sz w:val="24"/>
                  <w:szCs w:val="24"/>
                  <w:lang w:val="ru-RU" w:eastAsia="en-US" w:bidi="ar-SA"/>
                </w:rPr>
                <w:t>http://timr.rkursk.ru/index.php?mun_obr=441&amp;sub_menus_id=30341&amp;num_str=3&amp;id_mat=279643</w:t>
              </w:r>
            </w:hyperlink>
          </w:p>
        </w:tc>
      </w:tr>
      <w:tr>
        <w:trPr>
          <w:trHeight w:val="3118" w:hRule="atLeast"/>
        </w:trPr>
        <w:tc>
          <w:tcPr>
            <w:tcW w:w="75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Style w:val="2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2.2.</w:t>
            </w:r>
          </w:p>
        </w:tc>
        <w:tc>
          <w:tcPr>
            <w:tcW w:w="49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Опубликование и актуализация на официальном сайте муниципального района (городского округа) Курской области информации об объектах, находящихся в муниципальной собственности, включая сведения о наименованиях объектов, их местоположении, характеристиках и целевом назначении объектов, существующих ограничениях их использования и обременениях правами третьих лиц </w:t>
            </w:r>
            <w:r>
              <w:rPr>
                <w:rStyle w:val="24"/>
                <w:rFonts w:eastAsia="Calibri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(</w:t>
            </w: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Есть/ Нет)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6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Style w:val="24"/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u w:val="none"/>
                <w:shd w:fill="auto" w:val="clear"/>
                <w:lang w:val="ru-RU" w:eastAsia="en-US" w:bidi="ar-SA"/>
              </w:rPr>
              <w:t>Есть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strike w:val="false"/>
                <w:dstrike w:val="false"/>
                <w:kern w:val="0"/>
                <w:sz w:val="24"/>
                <w:szCs w:val="24"/>
                <w:u w:val="single"/>
                <w:effect w:val="none"/>
                <w:shd w:fill="auto" w:val="clear"/>
                <w:lang w:val="ru-RU" w:eastAsia="en-US" w:bidi="ar-SA"/>
              </w:rPr>
              <w:t>http://timr.rkursk.ru/index.php?mun_obr=441&amp;sub_menus_id=43401&amp;num_str=1&amp;id_mat=506655</w:t>
            </w:r>
          </w:p>
        </w:tc>
      </w:tr>
      <w:tr>
        <w:trPr>
          <w:trHeight w:val="453" w:hRule="atLeast"/>
        </w:trPr>
        <w:tc>
          <w:tcPr>
            <w:tcW w:w="9345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Группа 3. «Нарушение антимонопольного законодательства»</w:t>
            </w:r>
          </w:p>
        </w:tc>
      </w:tr>
      <w:tr>
        <w:trPr>
          <w:trHeight w:val="1932" w:hRule="atLeast"/>
        </w:trPr>
        <w:tc>
          <w:tcPr>
            <w:tcW w:w="75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Style w:val="2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3.1.</w:t>
            </w:r>
          </w:p>
        </w:tc>
        <w:tc>
          <w:tcPr>
            <w:tcW w:w="49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Наличие нормативного правового акта Администрации муниципального района (городского округа) Курской области </w:t>
              <w:br/>
              <w:t xml:space="preserve">«Об организации антимонопольного комплаенса», размещенного на официальном сайте муниципального района (городского округа) Курской области </w:t>
            </w:r>
            <w:r>
              <w:rPr>
                <w:rStyle w:val="24"/>
                <w:rFonts w:eastAsia="Calibri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(</w:t>
            </w: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Есть/ Нет)</w:t>
            </w:r>
          </w:p>
        </w:tc>
        <w:tc>
          <w:tcPr>
            <w:tcW w:w="36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bCs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Есть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http://timr.rkursk.ru/index.php?mun_obr=441&amp;sub_menus_id=30341&amp;num_str=3&amp;id_mat=285711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783" w:hRule="atLeast"/>
        </w:trPr>
        <w:tc>
          <w:tcPr>
            <w:tcW w:w="75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Style w:val="2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3.2.</w:t>
            </w:r>
          </w:p>
        </w:tc>
        <w:tc>
          <w:tcPr>
            <w:tcW w:w="49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Динамика нарушений антимонопольного законодательства со стороны Администрации муниципального района (городского округа) Курской области в сравнении с предыдущим отчетным периодом (по данным Управления Федеральной антимонопольной службы по Курской области) </w:t>
            </w:r>
          </w:p>
        </w:tc>
        <w:tc>
          <w:tcPr>
            <w:tcW w:w="36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Указать: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количество нарушений в 2021 году -  </w:t>
            </w: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нет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количество нарушений в 2022 году - </w:t>
            </w: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нет</w:t>
            </w:r>
          </w:p>
        </w:tc>
      </w:tr>
      <w:tr>
        <w:trPr>
          <w:trHeight w:val="564" w:hRule="atLeast"/>
        </w:trPr>
        <w:tc>
          <w:tcPr>
            <w:tcW w:w="9345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Группа 4. «Мониторинг товарных рынков (сфер экономики)»</w:t>
            </w:r>
          </w:p>
        </w:tc>
      </w:tr>
      <w:tr>
        <w:trPr>
          <w:trHeight w:val="1656" w:hRule="atLeast"/>
        </w:trPr>
        <w:tc>
          <w:tcPr>
            <w:tcW w:w="75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4.1.</w:t>
            </w:r>
          </w:p>
        </w:tc>
        <w:tc>
          <w:tcPr>
            <w:tcW w:w="49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П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роведение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 мониторинга с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остояния и развития конкурентной среды на товарных рынках муниципального района (городского округа) Курской области 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(</w:t>
            </w: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Проведен в установленный срок/ Не проведен в установленный срок)</w:t>
            </w:r>
          </w:p>
        </w:tc>
        <w:tc>
          <w:tcPr>
            <w:tcW w:w="36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Проведен в установленный срок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 w:eastAsiaTheme="minorHAnsi"/>
                <w:b w:val="false"/>
                <w:b w:val="false"/>
                <w:b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</w:pPr>
            <w:r>
              <w:rPr>
                <w:rFonts w:eastAsia="Calibri" w:cs="Times New Roman" w:eastAsiaTheme="minorHAnsi" w:ascii="Times New Roman" w:hAnsi="Times New Roman"/>
                <w:b w:val="false"/>
                <w:b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hyperlink r:id="rId3">
              <w:r>
                <w:rPr>
                  <w:rFonts w:eastAsia="Calibri" w:cs="Times New Roman" w:ascii="Times New Roman" w:hAnsi="Times New Roman" w:eastAsiaTheme="minorHAnsi"/>
                  <w:b w:val="false"/>
                  <w:bCs w:val="false"/>
                  <w:kern w:val="0"/>
                  <w:sz w:val="24"/>
                  <w:szCs w:val="24"/>
                  <w:shd w:fill="auto" w:val="clear"/>
                  <w:lang w:val="ru-RU" w:eastAsia="en-US" w:bidi="ar-SA"/>
                </w:rPr>
                <w:t>http://timr.rkursk.ru/index.php?mun_obr=441&amp;sub_menus_id=30341&amp;num_str=1&amp;id_mat=500449</w:t>
              </w:r>
            </w:hyperlink>
            <w:r>
              <w:rPr>
                <w:rFonts w:eastAsia="Calibri" w:cs="Times New Roman" w:ascii="Times New Roman" w:hAnsi="Times New Roman" w:eastAsiaTheme="minorHAnsi"/>
                <w:b w:val="false"/>
                <w:b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 w:eastAsiaTheme="minorHAnsi"/>
                <w:b w:val="false"/>
                <w:b w:val="false"/>
                <w:b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</w:pPr>
            <w:r>
              <w:rPr>
                <w:rFonts w:eastAsia="Calibri" w:cs="Times New Roman" w:eastAsiaTheme="minorHAnsi" w:ascii="Times New Roman" w:hAnsi="Times New Roman"/>
                <w:b w:val="false"/>
                <w:b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hd w:fill="auto" w:val="clear"/>
              </w:rPr>
            </w:pPr>
            <w:r>
              <w:rPr>
                <w:rFonts w:eastAsia="Calibri" w:cs="Times New Roman" w:ascii="Times New Roman" w:hAnsi="Times New Roman" w:eastAsiaTheme="minorHAnsi"/>
                <w:b w:val="false"/>
                <w:b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http://timr.rkursk.ru/index.php?mun_obr=441&amp;sub_menus_id=30341&amp;num_str=1&amp;id_mat=500450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 w:eastAsiaTheme="minorHAnsi"/>
                <w:b w:val="false"/>
                <w:b w:val="false"/>
                <w:b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</w:pPr>
            <w:r>
              <w:rPr>
                <w:rFonts w:eastAsia="Calibri" w:cs="Times New Roman" w:eastAsiaTheme="minorHAnsi" w:ascii="Times New Roman" w:hAnsi="Times New Roman"/>
                <w:b w:val="false"/>
                <w:b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hd w:fill="FFFF00" w:val="clear"/>
              </w:rPr>
            </w:pPr>
            <w:hyperlink r:id="rId4">
              <w:r>
                <w:rPr>
                  <w:rFonts w:eastAsia="Calibri" w:cs="Times New Roman" w:ascii="Times New Roman" w:hAnsi="Times New Roman" w:eastAsiaTheme="minorHAnsi"/>
                  <w:b w:val="false"/>
                  <w:bCs w:val="false"/>
                  <w:kern w:val="0"/>
                  <w:sz w:val="24"/>
                  <w:szCs w:val="24"/>
                  <w:shd w:fill="auto" w:val="clear"/>
                  <w:lang w:val="ru-RU" w:eastAsia="en-US" w:bidi="ar-SA"/>
                </w:rPr>
                <w:t>http://timr.rkursk.ru/index.php?mun_obr=441&amp;sub_menus_id=30341&amp;num_str=1&amp;id_mat=500451</w:t>
              </w:r>
            </w:hyperlink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shd w:fill="auto" w:val="clear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hd w:fill="auto" w:val="clear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http://timr.rkursk.ru/index.php?mun_obr=441&amp;sub_menus_id=30341&amp;num_str=1&amp;id_mat=506228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 w:eastAsiaTheme="minorHAnsi"/>
                <w:b w:val="false"/>
                <w:b w:val="false"/>
                <w:b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</w:pPr>
            <w:r>
              <w:rPr>
                <w:rFonts w:eastAsia="Calibri" w:cs="Times New Roman" w:eastAsiaTheme="minorHAnsi" w:ascii="Times New Roman" w:hAnsi="Times New Roman"/>
                <w:b w:val="false"/>
                <w:b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Calibri" w:cs="Times New Roman" w:ascii="Times New Roman" w:hAnsi="Times New Roman"/>
                <w:b w:val="false"/>
                <w:b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http://timr.rkursk.ru/index.php?mun_obr=441&amp;sub_menus_id=30341&amp;num_str=1&amp;id_mat=506227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 w:val="false"/>
                <w:b w:val="false"/>
                <w:bCs w:val="false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b w:val="false"/>
                <w:bCs w:val="false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75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Style w:val="2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4.2.</w:t>
            </w:r>
          </w:p>
        </w:tc>
        <w:tc>
          <w:tcPr>
            <w:tcW w:w="49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Наличие сформированного и размещенного на официальном сайте муниципального района (городского округа) Курской области реестра хозяйствующих субъектов, доля участия муниципального района (городского округа) Курской области в которых составляет 50 и более процентов (далее – Реестр), с указанием рынка присутствия каждого такого хозяйствующего субъекта, на котором осуществляется данная деятельность:</w:t>
            </w:r>
          </w:p>
        </w:tc>
        <w:tc>
          <w:tcPr>
            <w:tcW w:w="36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http://timr.rkursk.ru/index.php?mun_obr=441&amp;sub_menus_id=30341&amp;num_str=1&amp;id_mat=504958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932" w:hRule="atLeast"/>
        </w:trPr>
        <w:tc>
          <w:tcPr>
            <w:tcW w:w="75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Style w:val="2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4.2.1.</w:t>
            </w:r>
          </w:p>
        </w:tc>
        <w:tc>
          <w:tcPr>
            <w:tcW w:w="49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Style w:val="2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- указаны доли занимаемого рынка такого хозяйствующего субъекта (в том числе объема (доля) выручки в общей величине стоимости оборота рынка, объем (доля) реализованных на рынке товаров, работ и услуг в натуральном выражении) </w:t>
            </w:r>
            <w:r>
              <w:rPr>
                <w:rStyle w:val="24"/>
                <w:rFonts w:eastAsia="Calibri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(</w:t>
            </w: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Указана / Не указана)</w:t>
            </w: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;</w:t>
            </w:r>
          </w:p>
        </w:tc>
        <w:tc>
          <w:tcPr>
            <w:tcW w:w="36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lang w:val="ru-RU" w:eastAsia="en-US" w:bidi="ar-SA"/>
              </w:rPr>
              <w:t>Хозяйствующих субъектов, доля участия муниципального образования в которых составляет 50 и более процентов, в районе нет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</w:p>
        </w:tc>
      </w:tr>
      <w:tr>
        <w:trPr>
          <w:trHeight w:val="1380" w:hRule="atLeast"/>
        </w:trPr>
        <w:tc>
          <w:tcPr>
            <w:tcW w:w="75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Style w:val="2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4.2.2.</w:t>
            </w:r>
          </w:p>
        </w:tc>
        <w:tc>
          <w:tcPr>
            <w:tcW w:w="49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Style w:val="2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- указан объем финансирования такого хозяйствующего субъекта из бюджета Курской области и бюджета муниципального района (городского округа)</w:t>
            </w:r>
            <w:r>
              <w:rPr>
                <w:rStyle w:val="24"/>
                <w:rFonts w:eastAsia="Calibri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 (</w:t>
            </w: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Указан / Не указан)</w:t>
            </w: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;</w:t>
            </w:r>
          </w:p>
        </w:tc>
        <w:tc>
          <w:tcPr>
            <w:tcW w:w="36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lang w:val="ru-RU" w:eastAsia="en-US" w:bidi="ar-SA"/>
              </w:rPr>
              <w:t>Хозяйствующих субъектов, доля участия муниципального образования в которых составляет 50 и более процентов, в районе нет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</w:p>
        </w:tc>
      </w:tr>
      <w:tr>
        <w:trPr>
          <w:trHeight w:val="828" w:hRule="atLeast"/>
        </w:trPr>
        <w:tc>
          <w:tcPr>
            <w:tcW w:w="75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Style w:val="2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4.2.3.</w:t>
            </w:r>
          </w:p>
        </w:tc>
        <w:tc>
          <w:tcPr>
            <w:tcW w:w="49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Style w:val="2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- Реестр размещен на официальном сайте муниципального района (городского округа) Курской области </w:t>
            </w:r>
            <w:r>
              <w:rPr>
                <w:rStyle w:val="24"/>
                <w:rFonts w:eastAsia="Calibri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(</w:t>
            </w: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Размещен / Не размещен)</w:t>
            </w:r>
          </w:p>
        </w:tc>
        <w:tc>
          <w:tcPr>
            <w:tcW w:w="36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lang w:val="ru-RU" w:eastAsia="en-US" w:bidi="ar-SA"/>
              </w:rPr>
              <w:t>Хозяйствующих субъектов, доля участия муниципального образования в которых составляет 50 и более процентов, в районе нет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</w:p>
        </w:tc>
      </w:tr>
      <w:tr>
        <w:trPr>
          <w:trHeight w:val="453" w:hRule="atLeast"/>
        </w:trPr>
        <w:tc>
          <w:tcPr>
            <w:tcW w:w="9345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Группа 5. «Обучающие мероприятия»</w:t>
            </w:r>
          </w:p>
        </w:tc>
      </w:tr>
      <w:tr>
        <w:trPr>
          <w:trHeight w:val="1942" w:hRule="atLeast"/>
        </w:trPr>
        <w:tc>
          <w:tcPr>
            <w:tcW w:w="75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Style w:val="2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5.1.</w:t>
            </w:r>
          </w:p>
        </w:tc>
        <w:tc>
          <w:tcPr>
            <w:tcW w:w="49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Участие в обучающих мероприятиях для органов местного самоуправления Курской области по вопросам содействия развитию конкуренции в Курской области </w:t>
            </w:r>
            <w:r>
              <w:rPr>
                <w:rStyle w:val="24"/>
                <w:rFonts w:eastAsia="Calibri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(</w:t>
            </w: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Приняли участие во всех</w:t>
            </w:r>
            <w:r>
              <w:rPr>
                <w:rStyle w:val="24"/>
                <w:rFonts w:eastAsia="Calibri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 обучающих мероприятиях/</w:t>
            </w: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 Не приняли участие хотя бы в одном </w:t>
            </w:r>
            <w:r>
              <w:rPr>
                <w:rStyle w:val="24"/>
                <w:rFonts w:eastAsia="Calibri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обучающем мероприятии)</w:t>
            </w:r>
          </w:p>
        </w:tc>
        <w:tc>
          <w:tcPr>
            <w:tcW w:w="367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Приняли участие во всех</w:t>
            </w:r>
            <w:r>
              <w:rPr>
                <w:rStyle w:val="24"/>
                <w:rFonts w:eastAsia="Calibri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 обучающих мероприятиях</w:t>
            </w:r>
          </w:p>
        </w:tc>
      </w:tr>
      <w:tr>
        <w:trPr>
          <w:trHeight w:val="465" w:hRule="atLeast"/>
        </w:trPr>
        <w:tc>
          <w:tcPr>
            <w:tcW w:w="9345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Группа 6. «Качественная оценка проводимой работы»</w:t>
            </w:r>
          </w:p>
        </w:tc>
      </w:tr>
      <w:tr>
        <w:trPr/>
        <w:tc>
          <w:tcPr>
            <w:tcW w:w="75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Style w:val="2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6.1.</w:t>
            </w:r>
          </w:p>
        </w:tc>
        <w:tc>
          <w:tcPr>
            <w:tcW w:w="49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Достижение ключевых показателей муниципального плана мероприятий («дорожной карты») по содействию развитию конкуренции в муниципальном районе (городском округе) Курской области*</w:t>
            </w:r>
          </w:p>
        </w:tc>
        <w:tc>
          <w:tcPr>
            <w:tcW w:w="36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bCs/>
                <w:kern w:val="0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5/5</w:t>
            </w:r>
          </w:p>
        </w:tc>
      </w:tr>
      <w:tr>
        <w:trPr>
          <w:trHeight w:val="2208" w:hRule="atLeast"/>
        </w:trPr>
        <w:tc>
          <w:tcPr>
            <w:tcW w:w="75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Style w:val="2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6.2.</w:t>
            </w:r>
          </w:p>
        </w:tc>
        <w:tc>
          <w:tcPr>
            <w:tcW w:w="49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Style w:val="2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Наличие дополнительных рынков в муниципальном плане «дорожной карте» по содействию развитию конкуренции, не включенных в стандарт развития конкуренции в субъектах Российской Федерации (распоряжение Правительства Российской Федерации от 17.04.2019 № 768-р) </w:t>
            </w:r>
            <w:r>
              <w:rPr>
                <w:rStyle w:val="24"/>
                <w:rFonts w:eastAsia="Calibri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(</w:t>
            </w: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Есть/ Нет)</w:t>
            </w:r>
          </w:p>
        </w:tc>
        <w:tc>
          <w:tcPr>
            <w:tcW w:w="36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Нет</w:t>
            </w:r>
          </w:p>
        </w:tc>
      </w:tr>
      <w:tr>
        <w:trPr>
          <w:trHeight w:val="1082" w:hRule="atLeast"/>
        </w:trPr>
        <w:tc>
          <w:tcPr>
            <w:tcW w:w="9345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Группа 7. «Эффективность работы по повышению и обеспечению условий для благоприятного инвестиционного климата в муниципальном районе (городском округе) Курской области»</w:t>
            </w:r>
          </w:p>
        </w:tc>
      </w:tr>
      <w:tr>
        <w:trPr>
          <w:trHeight w:val="955" w:hRule="atLeast"/>
        </w:trPr>
        <w:tc>
          <w:tcPr>
            <w:tcW w:w="756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855" w:leader="none"/>
              </w:tabs>
              <w:suppressAutoHyphens w:val="true"/>
              <w:spacing w:lineRule="auto" w:line="240" w:before="0" w:after="0"/>
              <w:jc w:val="center"/>
              <w:rPr>
                <w:rStyle w:val="2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7.1.</w:t>
            </w:r>
          </w:p>
        </w:tc>
        <w:tc>
          <w:tcPr>
            <w:tcW w:w="491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3855" w:leader="none"/>
              </w:tabs>
              <w:suppressAutoHyphens w:val="true"/>
              <w:spacing w:lineRule="auto" w:line="240" w:before="0" w:after="0"/>
              <w:jc w:val="both"/>
              <w:rPr>
                <w:rStyle w:val="2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Реализация проектов муниципально-частного партнерства или концессионных соглашений </w:t>
            </w:r>
            <w:r>
              <w:rPr>
                <w:rStyle w:val="24"/>
                <w:rFonts w:eastAsia="Calibri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(</w:t>
            </w: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Реализовано / Не реализовано)</w:t>
            </w:r>
          </w:p>
        </w:tc>
        <w:tc>
          <w:tcPr>
            <w:tcW w:w="367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855" w:leader="none"/>
              </w:tabs>
              <w:suppressAutoHyphens w:val="true"/>
              <w:spacing w:lineRule="auto" w:line="240" w:before="0" w:after="0"/>
              <w:jc w:val="center"/>
              <w:rPr>
                <w:rStyle w:val="2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Не реализовано</w:t>
            </w:r>
          </w:p>
        </w:tc>
      </w:tr>
      <w:tr>
        <w:trPr>
          <w:trHeight w:val="713" w:hRule="atLeast"/>
        </w:trPr>
        <w:tc>
          <w:tcPr>
            <w:tcW w:w="75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Style w:val="2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7.2.</w:t>
            </w:r>
          </w:p>
        </w:tc>
        <w:tc>
          <w:tcPr>
            <w:tcW w:w="49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Style w:val="2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Наличие инвестиционных площадок, готовых к размещению новых производств </w:t>
            </w:r>
            <w:r>
              <w:rPr>
                <w:rStyle w:val="24"/>
                <w:rFonts w:eastAsia="Calibri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(</w:t>
            </w: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Есть/ Нет)</w:t>
            </w:r>
          </w:p>
        </w:tc>
        <w:tc>
          <w:tcPr>
            <w:tcW w:w="36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2"/>
                <w:szCs w:val="22"/>
                <w:shd w:fill="auto" w:val="clear"/>
              </w:rPr>
            </w:pPr>
            <w:r>
              <w:rPr>
                <w:rFonts w:eastAsia="Calibri" w:cs="Times New Roman" w:ascii="Times New Roman" w:hAnsi="Times New Roman" w:eastAsiaTheme="minorHAnsi"/>
                <w:kern w:val="0"/>
                <w:sz w:val="22"/>
                <w:szCs w:val="22"/>
                <w:shd w:fill="auto" w:val="clear"/>
                <w:lang w:val="ru-RU" w:eastAsia="en-US" w:bidi="ar-SA"/>
              </w:rPr>
              <w:t>На территории района инвестиционные площадки отсутствуют. Имеется 2 земельных участка (д. Постояновка,                   с. Рождественка) предлагаемых инвесторам для создания промышленных предприятий.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2"/>
                <w:szCs w:val="22"/>
                <w:shd w:fill="auto" w:val="clear"/>
              </w:rPr>
            </w:pPr>
            <w:r>
              <w:rPr>
                <w:rFonts w:eastAsia="Calibri" w:cs="Times New Roman" w:ascii="Times New Roman" w:hAnsi="Times New Roman" w:eastAsiaTheme="minorHAnsi"/>
                <w:kern w:val="0"/>
                <w:sz w:val="22"/>
                <w:szCs w:val="22"/>
                <w:shd w:fill="auto" w:val="clear"/>
                <w:lang w:val="ru-RU" w:eastAsia="en-US" w:bidi="ar-SA"/>
              </w:rPr>
              <w:t>http://timr.rkursk.ru/index.php?mun_obr=441&amp;sub_menus_id=36808&amp;num_str=1&amp;id_mat=507298</w:t>
            </w:r>
          </w:p>
        </w:tc>
      </w:tr>
      <w:tr>
        <w:trPr>
          <w:trHeight w:val="1120" w:hRule="atLeast"/>
        </w:trPr>
        <w:tc>
          <w:tcPr>
            <w:tcW w:w="75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Style w:val="2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7.3.</w:t>
            </w:r>
          </w:p>
        </w:tc>
        <w:tc>
          <w:tcPr>
            <w:tcW w:w="49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Style w:val="2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Наличие специализированного раздела на официальном сайте муниципального района (городского округа) Курской области об инвестиционной деятельности </w:t>
            </w:r>
            <w:r>
              <w:rPr>
                <w:rStyle w:val="24"/>
                <w:rFonts w:eastAsia="Calibri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(</w:t>
            </w: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Есть/ Нет)</w:t>
            </w:r>
          </w:p>
        </w:tc>
        <w:tc>
          <w:tcPr>
            <w:tcW w:w="36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val="ru-RU"/>
              </w:rPr>
              <w:t>Есть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>
              <w:r>
                <w:rPr>
                  <w:rFonts w:cs="Times New Roman" w:ascii="Times New Roman" w:hAnsi="Times New Roman"/>
                  <w:sz w:val="24"/>
                  <w:szCs w:val="24"/>
                </w:rPr>
                <w:t>http://timr.rkursk.ru/index.php?mun_obr=441&amp;sub_menus_id=24583</w:t>
              </w:r>
            </w:hyperlink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019" w:hRule="atLeast"/>
        </w:trPr>
        <w:tc>
          <w:tcPr>
            <w:tcW w:w="9345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Style w:val="24"/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Группа 8. «Другие мероприятия, направленные на развитие конкуренции в муниципальном образовании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(городском округе) Курской области»</w:t>
            </w:r>
          </w:p>
        </w:tc>
      </w:tr>
      <w:tr>
        <w:trPr>
          <w:trHeight w:val="1413" w:hRule="atLeast"/>
        </w:trPr>
        <w:tc>
          <w:tcPr>
            <w:tcW w:w="756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680" w:leader="none"/>
              </w:tabs>
              <w:suppressAutoHyphens w:val="true"/>
              <w:spacing w:lineRule="auto" w:line="240" w:before="0" w:after="0"/>
              <w:jc w:val="center"/>
              <w:rPr>
                <w:rStyle w:val="2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8.1.</w:t>
            </w:r>
          </w:p>
        </w:tc>
        <w:tc>
          <w:tcPr>
            <w:tcW w:w="491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680" w:leader="none"/>
              </w:tabs>
              <w:suppressAutoHyphens w:val="true"/>
              <w:spacing w:lineRule="auto" w:line="240" w:before="0" w:after="0"/>
              <w:jc w:val="both"/>
              <w:rPr>
                <w:rStyle w:val="2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Наличие актуальной утвержденной и размещенной на официальном сайте муниципального района (городского округа) Курской области схемы размещения рекламных конструкций </w:t>
            </w:r>
            <w:r>
              <w:rPr>
                <w:rStyle w:val="24"/>
                <w:rFonts w:eastAsia="Calibri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(</w:t>
            </w: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Есть / Нет)</w:t>
            </w:r>
          </w:p>
        </w:tc>
        <w:tc>
          <w:tcPr>
            <w:tcW w:w="36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>
              <w:r>
                <w:rPr>
                  <w:rFonts w:eastAsia="Calibri" w:cs="Times New Roman" w:ascii="Times New Roman" w:hAnsi="Times New Roman"/>
                  <w:b/>
                  <w:bCs/>
                  <w:kern w:val="0"/>
                  <w:sz w:val="24"/>
                  <w:szCs w:val="24"/>
                  <w:lang w:val="ru-RU" w:eastAsia="en-US" w:bidi="ar-SA"/>
                </w:rPr>
                <w:t>Есть</w:t>
              </w:r>
            </w:hyperlink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>
              <w:r>
                <w:rPr>
                  <w:rFonts w:eastAsia="Calibri" w:cs="Times New Roman" w:ascii="Times New Roman" w:hAnsi="Times New Roman"/>
                  <w:kern w:val="0"/>
                  <w:sz w:val="24"/>
                  <w:szCs w:val="24"/>
                  <w:lang w:val="ru-RU" w:eastAsia="en-US" w:bidi="ar-SA"/>
                </w:rPr>
                <w:t>http://timr.rkursk.ru/index.php?date_mod_s=&amp;date_mod_po=&amp;search_query=%F1%F5%E5%EC%E0+%F0%E0%E7%EC%E5%F9%E5%ED%E8%FF&amp;kol=15&amp;sort=date_modified&amp;mun_obr=441&amp;search=true&amp;search_raz[14488]=14488&amp;search_raz[26306]=26306&amp;num_str=3&amp;id_mat_search=61468</w:t>
              </w:r>
            </w:hyperlink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 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484" w:hRule="atLeast"/>
        </w:trPr>
        <w:tc>
          <w:tcPr>
            <w:tcW w:w="756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680" w:leader="none"/>
              </w:tabs>
              <w:suppressAutoHyphens w:val="true"/>
              <w:spacing w:lineRule="auto" w:line="240" w:before="0" w:after="0"/>
              <w:jc w:val="center"/>
              <w:rPr>
                <w:rStyle w:val="2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8.2.</w:t>
            </w:r>
          </w:p>
        </w:tc>
        <w:tc>
          <w:tcPr>
            <w:tcW w:w="491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680" w:leader="none"/>
              </w:tabs>
              <w:suppressAutoHyphens w:val="true"/>
              <w:spacing w:lineRule="auto" w:line="240" w:before="0" w:after="0"/>
              <w:jc w:val="both"/>
              <w:rPr/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Увеличение количества объектов в перечне муниципального имущества, подлежащего предоставлению во владение и (или) пользование на долгосрочной основе субъектам малого и среднего предпринимательства (далее – МСП) и организациям, образующим инфраструктуру поддержки субъектов МСП и самозанятым гражданам (далее – Перечень)</w:t>
            </w:r>
          </w:p>
        </w:tc>
        <w:tc>
          <w:tcPr>
            <w:tcW w:w="36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shd w:fill="auto" w:val="clear"/>
              </w:rPr>
              <w:t>Перечень увеличен  на 3 объекта</w:t>
            </w:r>
          </w:p>
        </w:tc>
      </w:tr>
      <w:tr>
        <w:trPr>
          <w:trHeight w:val="1393" w:hRule="atLeast"/>
        </w:trPr>
        <w:tc>
          <w:tcPr>
            <w:tcW w:w="756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680" w:leader="none"/>
              </w:tabs>
              <w:suppressAutoHyphens w:val="true"/>
              <w:spacing w:lineRule="auto" w:line="240" w:before="0" w:after="0"/>
              <w:jc w:val="center"/>
              <w:rPr>
                <w:rStyle w:val="2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8.3.</w:t>
            </w:r>
          </w:p>
        </w:tc>
        <w:tc>
          <w:tcPr>
            <w:tcW w:w="491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680" w:leader="none"/>
              </w:tabs>
              <w:suppressAutoHyphens w:val="true"/>
              <w:spacing w:lineRule="auto" w:line="240" w:before="0" w:after="0"/>
              <w:jc w:val="both"/>
              <w:rPr>
                <w:rStyle w:val="2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Размещение актуализированного Перечня на официальном сайте муниципального района (городского округа) Курской области» </w:t>
            </w:r>
            <w:r>
              <w:rPr>
                <w:rStyle w:val="24"/>
                <w:rFonts w:eastAsia="Calibri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(</w:t>
            </w: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Размещен в актуализированном виде/ Не размещен или не актуализирован)</w:t>
            </w:r>
          </w:p>
        </w:tc>
        <w:tc>
          <w:tcPr>
            <w:tcW w:w="36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http://timr.rkursk.ru/index.php?mun_obr=441&amp;sub_menus_id=41621&amp;num_str=1&amp;id_mat=479431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566" w:hRule="atLeast"/>
        </w:trPr>
        <w:tc>
          <w:tcPr>
            <w:tcW w:w="756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680" w:leader="none"/>
              </w:tabs>
              <w:suppressAutoHyphens w:val="true"/>
              <w:spacing w:lineRule="auto" w:line="240" w:before="0" w:after="0"/>
              <w:jc w:val="center"/>
              <w:rPr>
                <w:rStyle w:val="2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8.4.</w:t>
            </w:r>
          </w:p>
        </w:tc>
        <w:tc>
          <w:tcPr>
            <w:tcW w:w="491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680" w:leader="none"/>
              </w:tabs>
              <w:suppressAutoHyphens w:val="true"/>
              <w:spacing w:lineRule="auto" w:line="240" w:before="0" w:after="0"/>
              <w:jc w:val="both"/>
              <w:rPr>
                <w:rStyle w:val="2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Соблюдение сроков предоставления сведений, определенных порядком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"О развитии малого и среднего предпринимательства в Российской Федерации", а также об изменениях, внесенных в такие перечни, в акционерное общество "Федеральная корпорация по развитию малого и среднего предпринимательства", формы представления и состава таких сведений, утвержденным приказом Минэкономразвития России от 20.04.2016 № 264 </w:t>
            </w:r>
            <w:r>
              <w:rPr>
                <w:rStyle w:val="24"/>
                <w:rFonts w:eastAsia="Calibri"/>
                <w:b/>
                <w:bCs/>
                <w:color w:val="000000"/>
                <w:kern w:val="0"/>
                <w:sz w:val="22"/>
                <w:szCs w:val="22"/>
                <w:lang w:val="ru-RU" w:eastAsia="en-US" w:bidi="ar-SA"/>
              </w:rPr>
              <w:t>(</w:t>
            </w: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Одновременное соблюдение срока, формы предоставления и состава таких сведений / Сроки или форма представления или состав таких сведений не соблюдены)</w:t>
            </w:r>
          </w:p>
        </w:tc>
        <w:tc>
          <w:tcPr>
            <w:tcW w:w="367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680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eastAsia="Calibri" w:cs="Times New Roman" w:ascii="Times New Roman" w:hAnsi="Times New Roman" w:eastAsiaTheme="minorHAnsi"/>
                <w:b/>
                <w:bCs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Одновременное соблюдение срока, формы предоставления и состава таких сведений </w:t>
            </w:r>
          </w:p>
        </w:tc>
      </w:tr>
    </w:tbl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headerReference w:type="default" r:id="rId8"/>
      <w:type w:val="nextPage"/>
      <w:pgSz w:w="11906" w:h="16838"/>
      <w:pgMar w:left="1701" w:right="850" w:header="708" w:top="1134" w:footer="0" w:bottom="1134" w:gutter="0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456985035"/>
    </w:sdtPr>
    <w:sdtContent>
      <w:p>
        <w:pPr>
          <w:pStyle w:val="Style24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Style24"/>
      <w:rPr/>
    </w:pPr>
    <w:r>
      <w:rPr/>
    </w:r>
  </w:p>
</w:hdr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Основной текст (2)_"/>
    <w:basedOn w:val="DefaultParagraphFont"/>
    <w:link w:val="21"/>
    <w:uiPriority w:val="99"/>
    <w:qFormat/>
    <w:rsid w:val="00990110"/>
    <w:rPr>
      <w:rFonts w:ascii="Arial" w:hAnsi="Arial" w:cs="Arial"/>
      <w:sz w:val="28"/>
      <w:szCs w:val="28"/>
      <w:shd w:fill="FFFFFF" w:val="clear"/>
    </w:rPr>
  </w:style>
  <w:style w:type="character" w:styleId="24" w:customStyle="1">
    <w:name w:val="Основной текст (2)4"/>
    <w:basedOn w:val="DefaultParagraphFont"/>
    <w:uiPriority w:val="99"/>
    <w:qFormat/>
    <w:rsid w:val="00bb087a"/>
    <w:rPr>
      <w:rFonts w:ascii="Arial" w:hAnsi="Arial" w:cs="Arial"/>
      <w:strike w:val="false"/>
      <w:dstrike w:val="false"/>
      <w:sz w:val="28"/>
      <w:szCs w:val="28"/>
      <w:u w:val="none"/>
      <w:effect w:val="none"/>
    </w:rPr>
  </w:style>
  <w:style w:type="character" w:styleId="Style14" w:customStyle="1">
    <w:name w:val="Верхний колонтитул Знак"/>
    <w:basedOn w:val="DefaultParagraphFont"/>
    <w:link w:val="a4"/>
    <w:uiPriority w:val="99"/>
    <w:qFormat/>
    <w:rsid w:val="00a47842"/>
    <w:rPr/>
  </w:style>
  <w:style w:type="character" w:styleId="Style15" w:customStyle="1">
    <w:name w:val="Нижний колонтитул Знак"/>
    <w:basedOn w:val="DefaultParagraphFont"/>
    <w:link w:val="a6"/>
    <w:uiPriority w:val="99"/>
    <w:qFormat/>
    <w:rsid w:val="00a47842"/>
    <w:rPr/>
  </w:style>
  <w:style w:type="character" w:styleId="Style16" w:customStyle="1">
    <w:name w:val="Текст выноски Знак"/>
    <w:basedOn w:val="DefaultParagraphFont"/>
    <w:link w:val="a8"/>
    <w:uiPriority w:val="99"/>
    <w:semiHidden/>
    <w:qFormat/>
    <w:rsid w:val="006024a4"/>
    <w:rPr>
      <w:rFonts w:ascii="Segoe UI" w:hAnsi="Segoe UI" w:cs="Segoe UI"/>
      <w:sz w:val="18"/>
      <w:szCs w:val="18"/>
    </w:rPr>
  </w:style>
  <w:style w:type="character" w:styleId="Style17">
    <w:name w:val="Интернет-ссылка"/>
    <w:rPr>
      <w:color w:val="000080"/>
      <w:u w:val="single"/>
      <w:lang w:val="zxx" w:eastAsia="zxx" w:bidi="zxx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Ari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"/>
    </w:rPr>
  </w:style>
  <w:style w:type="paragraph" w:styleId="21" w:customStyle="1">
    <w:name w:val="Основной текст (2)1"/>
    <w:basedOn w:val="Normal"/>
    <w:link w:val="2"/>
    <w:uiPriority w:val="99"/>
    <w:qFormat/>
    <w:rsid w:val="00990110"/>
    <w:pPr>
      <w:widowControl w:val="false"/>
      <w:shd w:val="clear" w:color="auto" w:fill="FFFFFF"/>
      <w:spacing w:lineRule="exact" w:line="691" w:before="0" w:after="0"/>
      <w:jc w:val="both"/>
    </w:pPr>
    <w:rPr>
      <w:rFonts w:ascii="Arial" w:hAnsi="Arial" w:cs="Arial"/>
      <w:sz w:val="28"/>
      <w:szCs w:val="28"/>
    </w:rPr>
  </w:style>
  <w:style w:type="paragraph" w:styleId="ConsPlusNormal" w:customStyle="1">
    <w:name w:val="ConsPlusNormal"/>
    <w:uiPriority w:val="99"/>
    <w:qFormat/>
    <w:rsid w:val="00990110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paragraph" w:styleId="Style23">
    <w:name w:val="Колонтитул"/>
    <w:basedOn w:val="Normal"/>
    <w:qFormat/>
    <w:pPr/>
    <w:rPr/>
  </w:style>
  <w:style w:type="paragraph" w:styleId="Style24">
    <w:name w:val="Header"/>
    <w:basedOn w:val="Normal"/>
    <w:link w:val="a5"/>
    <w:uiPriority w:val="99"/>
    <w:unhideWhenUsed/>
    <w:rsid w:val="00a47842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5">
    <w:name w:val="Footer"/>
    <w:basedOn w:val="Normal"/>
    <w:link w:val="a7"/>
    <w:uiPriority w:val="99"/>
    <w:unhideWhenUsed/>
    <w:rsid w:val="00a47842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a9"/>
    <w:uiPriority w:val="99"/>
    <w:semiHidden/>
    <w:unhideWhenUsed/>
    <w:qFormat/>
    <w:rsid w:val="006024a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99011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timr.rkursk.ru/index.php?mun_obr=441&amp;sub_menus_id=30341&amp;num_str=3&amp;id_mat=279643" TargetMode="External"/><Relationship Id="rId3" Type="http://schemas.openxmlformats.org/officeDocument/2006/relationships/hyperlink" Target="http://timr.rkursk.ru/index.php?mun_obr=441&amp;sub_menus_id=30341&amp;num_str=1&amp;id_mat=500449" TargetMode="External"/><Relationship Id="rId4" Type="http://schemas.openxmlformats.org/officeDocument/2006/relationships/hyperlink" Target="http://timr.rkursk.ru/index.php?mun_obr=441&amp;sub_menus_id=30341&amp;num_str=1&amp;id_mat=500451" TargetMode="External"/><Relationship Id="rId5" Type="http://schemas.openxmlformats.org/officeDocument/2006/relationships/hyperlink" Target="http://timr.rkursk.ru/index.php?mun_obr=441&amp;sub_menus_id=24583" TargetMode="External"/><Relationship Id="rId6" Type="http://schemas.openxmlformats.org/officeDocument/2006/relationships/hyperlink" Target="http://timr.rkursk.ru/index.php?date_mod_s=&amp;date_mod_po=&amp;search_query=%F1%F5%E5%EC%E0+%F0%E0%E7%EC%E5%F9%E5%ED%E8%FF&amp;kol=15&amp;sort=date_modified&amp;mun_obr=441&amp;search=true&amp;search_raz[14488]=14488&amp;search_raz[26306]=26306&amp;num_str=3&amp;id_mat_search=61468" TargetMode="External"/><Relationship Id="rId7" Type="http://schemas.openxmlformats.org/officeDocument/2006/relationships/hyperlink" Target="http://timr.rkursk.ru/index.php?date_mod_s=&amp;date_mod_po=&amp;search_query=%F1%F5%E5%EC%E0+%F0%E0%E7%EC%E5%F9%E5%ED%E8%FF&amp;kol=15&amp;sort=date_modified&amp;mun_obr=441&amp;search=true&amp;search_raz[14488]=14488&amp;search_raz[26306]=26306&amp;num_str=3&amp;id_mat_search=61468" TargetMode="Externa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4E581-631A-4351-8CF6-840CFB67A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Application>LibreOffice/7.1.7.2$Windows_X86_64 LibreOffice_project/c6a4e3954236145e2acb0b65f68614365aeee33f</Application>
  <AppVersion>15.0000</AppVersion>
  <Pages>5</Pages>
  <Words>860</Words>
  <Characters>7551</Characters>
  <CharactersWithSpaces>8352</CharactersWithSpaces>
  <Paragraphs>92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2020-09-29T13:09:00Z</dcterms:created>
  <dc:creator>Кучерова </dc:creator>
  <dc:description/>
  <dc:language>ru-RU</dc:language>
  <cp:lastModifiedBy/>
  <cp:lastPrinted>2022-12-30T07:10:00Z</cp:lastPrinted>
  <dcterms:modified xsi:type="dcterms:W3CDTF">2023-02-09T15:33:08Z</dcterms:modified>
  <cp:revision>84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